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280" w:after="280"/>
        <w:ind w:left="9923" w:right="0" w:firstLine="1"/>
        <w:rPr>
          <w:sz w:val="16"/>
          <w:szCs w:val="16"/>
        </w:rPr>
      </w:pPr>
      <w:r>
        <w:rPr>
          <w:sz w:val="16"/>
          <w:szCs w:val="16"/>
          <w:lang w:val="uk-UA"/>
        </w:rPr>
        <w:t>ЗАТВЕРДЖЕНО</w:t>
      </w:r>
    </w:p>
    <w:p>
      <w:pPr>
        <w:pStyle w:val="NormalWeb"/>
        <w:spacing w:before="280" w:after="280"/>
        <w:ind w:left="9923" w:right="0" w:firstLine="1"/>
        <w:rPr/>
      </w:pP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  <w:lang w:val="uk-UA"/>
        </w:rPr>
        <w:t>Н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</w:rPr>
        <w:t>аказ Міністерства фінансів України 26 серпня 2014 року №836 (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  <w:lang w:val="uk-UA"/>
        </w:rPr>
        <w:t>у редакції наказу Міністерства фінансів України від 29 грудня 2018 року № 1209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</w:rPr>
        <w:t>)</w:t>
      </w:r>
    </w:p>
    <w:tbl>
      <w:tblPr>
        <w:tblW w:w="5764" w:type="dxa"/>
        <w:jc w:val="left"/>
        <w:tblInd w:w="10052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4"/>
      </w:tblGrid>
      <w:tr>
        <w:trPr/>
        <w:tc>
          <w:tcPr>
            <w:tcW w:w="5764" w:type="dxa"/>
            <w:tcBorders/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ЗАТВЕРДЖЕНО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Наказ / розпорядчий документ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політики Луцької міської ради                                                   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головного розпорядника коштів місцевого бюджету)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ід </w:t>
            </w:r>
            <w:r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 xml:space="preserve"> 05.01.2024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>2/11.12-1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.    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16"/>
          <w:szCs w:val="16"/>
        </w:rPr>
        <w:t>Паспорт</w:t>
      </w:r>
    </w:p>
    <w:p>
      <w:pPr>
        <w:pStyle w:val="Normal"/>
        <w:spacing w:lineRule="auto" w:line="240"/>
        <w:jc w:val="center"/>
        <w:rPr/>
      </w:pPr>
      <w:bookmarkStart w:id="0" w:name="__DdeLink__555_1013036386"/>
      <w:bookmarkEnd w:id="0"/>
      <w:r>
        <w:rPr>
          <w:rFonts w:ascii="Times New Roman" w:hAnsi="Times New Roman"/>
          <w:b/>
          <w:sz w:val="16"/>
          <w:szCs w:val="16"/>
        </w:rPr>
        <w:t>бюджетної програми місцевого бюджету на 2024 рік</w:t>
      </w:r>
    </w:p>
    <w:tbl>
      <w:tblPr>
        <w:tblW w:w="1581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6"/>
        <w:gridCol w:w="3"/>
        <w:gridCol w:w="310"/>
        <w:gridCol w:w="478"/>
        <w:gridCol w:w="1869"/>
        <w:gridCol w:w="2"/>
        <w:gridCol w:w="1485"/>
        <w:gridCol w:w="2925"/>
        <w:gridCol w:w="342"/>
        <w:gridCol w:w="3"/>
        <w:gridCol w:w="1027"/>
        <w:gridCol w:w="1385"/>
        <w:gridCol w:w="76"/>
        <w:gridCol w:w="2"/>
        <w:gridCol w:w="47"/>
        <w:gridCol w:w="2164"/>
        <w:gridCol w:w="187"/>
        <w:gridCol w:w="188"/>
        <w:gridCol w:w="1156"/>
        <w:gridCol w:w="18"/>
        <w:gridCol w:w="1418"/>
      </w:tblGrid>
      <w:tr>
        <w:trPr/>
        <w:tc>
          <w:tcPr>
            <w:tcW w:w="732" w:type="dxa"/>
            <w:gridSpan w:val="2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62" w:type="dxa"/>
            <w:gridSpan w:val="5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0800000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/>
            </w:r>
          </w:p>
        </w:tc>
        <w:tc>
          <w:tcPr>
            <w:tcW w:w="12423" w:type="dxa"/>
            <w:gridSpan w:val="15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політики Луцької міської ради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_____________________________________________ 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 03191963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</w:t>
            </w:r>
            <w:r>
              <w:rPr>
                <w:rFonts w:ascii="Times New Roman" w:hAnsi="Times New Roman"/>
                <w:sz w:val="16"/>
                <w:szCs w:val="16"/>
              </w:rPr>
              <w:t>(найменування головного розпорядника)                                                                                                                                                                                   (код за ЄДРПОУ)</w:t>
            </w:r>
          </w:p>
        </w:tc>
      </w:tr>
      <w:tr>
        <w:trPr/>
        <w:tc>
          <w:tcPr>
            <w:tcW w:w="732" w:type="dxa"/>
            <w:gridSpan w:val="2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62" w:type="dxa"/>
            <w:gridSpan w:val="5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0810000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2423" w:type="dxa"/>
            <w:gridSpan w:val="15"/>
            <w:tcBorders/>
            <w:shd w:fill="FFFFFF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160"/>
              <w:ind w:right="0" w:hanging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політики Луцької міської ради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___________________________________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 03191963 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(найменування відповідального виконавця)                                                                                                                                                                            (код за ЄДРПОУ)         </w:t>
            </w:r>
          </w:p>
        </w:tc>
      </w:tr>
      <w:tr>
        <w:trPr/>
        <w:tc>
          <w:tcPr>
            <w:tcW w:w="735" w:type="dxa"/>
            <w:gridSpan w:val="3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57" w:type="dxa"/>
            <w:gridSpan w:val="3"/>
            <w:tcBorders/>
            <w:shd w:fill="FFFFFF" w:val="clear"/>
          </w:tcPr>
          <w:p>
            <w:pPr>
              <w:pStyle w:val="Normal"/>
              <w:tabs>
                <w:tab w:val="left" w:pos="1323" w:leader="none"/>
              </w:tabs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0813050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487" w:type="dxa"/>
            <w:gridSpan w:val="2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1070 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(КФКВК)</w:t>
            </w:r>
          </w:p>
        </w:tc>
        <w:tc>
          <w:tcPr>
            <w:tcW w:w="10938" w:type="dxa"/>
            <w:gridSpan w:val="14"/>
            <w:tcBorders/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16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бюджетної програми)</w:t>
            </w:r>
          </w:p>
        </w:tc>
      </w:tr>
      <w:tr>
        <w:trPr/>
        <w:tc>
          <w:tcPr>
            <w:tcW w:w="15817" w:type="dxa"/>
            <w:gridSpan w:val="22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bookmarkStart w:id="1" w:name="__DdeLink__552_1743262065"/>
            <w:r>
              <w:rPr>
                <w:rFonts w:ascii="Times New Roman" w:hAnsi="Times New Roman"/>
                <w:sz w:val="16"/>
                <w:szCs w:val="16"/>
              </w:rPr>
              <w:t xml:space="preserve">4.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Обсяг бюджетних призначень/бюджетних асигнувань  -  1 208 729,00 гривень, у тому числі загального фонду -  1 208 729,00 </w:t>
            </w:r>
            <w:bookmarkEnd w:id="1"/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гривень та спеціального фонду - 0 гривень</w:t>
            </w:r>
          </w:p>
        </w:tc>
      </w:tr>
      <w:tr>
        <w:trPr/>
        <w:tc>
          <w:tcPr>
            <w:tcW w:w="15817" w:type="dxa"/>
            <w:gridSpan w:val="22"/>
            <w:tcBorders/>
            <w:shd w:fill="FFFFFF" w:val="clear"/>
          </w:tcPr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 Підстави для виконання бюджетної програми</w:t>
            </w:r>
          </w:p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Конституція України ,Бюджетний кодекс ,ЗУ"Про державний бюджет України на 2024 рік", Закон України "Про статус і соціальний захист громадян, які постраждали внаслідок Чорнобильської катастрофи", Порядок використання коштів субвенції з обласного бюджету місцевим бюджетам на пільгове медичне обслуговування осіб, які постраждали внаслідок Чорнобильської катастрофи, затверджений розпорядженням голови державної обласної адміністрації від 16.05.2019 №250, </w:t>
            </w:r>
            <w:bookmarkStart w:id="2" w:name="__DdeLink__519_1448120449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Рішення ЛМР від 20.12.2023 №54/35  "Про бюджет Луцької міської територіальної громади на 2024 рік"</w:t>
            </w:r>
            <w:bookmarkEnd w:id="2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.</w:t>
            </w:r>
          </w:p>
        </w:tc>
      </w:tr>
      <w:tr>
        <w:trPr/>
        <w:tc>
          <w:tcPr>
            <w:tcW w:w="15817" w:type="dxa"/>
            <w:gridSpan w:val="22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Цілі державної політики,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на досягнення яких спрямована реалізація бюджетної програми</w:t>
            </w:r>
          </w:p>
        </w:tc>
      </w:tr>
      <w:tr>
        <w:trPr/>
        <w:tc>
          <w:tcPr>
            <w:tcW w:w="15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14294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Ціль державної політики</w:t>
            </w:r>
          </w:p>
        </w:tc>
      </w:tr>
      <w:tr>
        <w:trPr/>
        <w:tc>
          <w:tcPr>
            <w:tcW w:w="15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94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160"/>
              <w:ind w:left="0" w:right="0" w:hanging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Надання та використання коштів субвенції з обласного бюджету  місцевим бюджетам на пільгове медичне обслуговування осіб, які постраждали внаслідок Чорнобильської катастрофи</w:t>
            </w:r>
          </w:p>
        </w:tc>
      </w:tr>
      <w:tr>
        <w:trPr/>
        <w:tc>
          <w:tcPr>
            <w:tcW w:w="15817" w:type="dxa"/>
            <w:gridSpan w:val="22"/>
            <w:tcBorders/>
            <w:shd w:fill="FFFFFF" w:val="clea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 Мета бюджетної програми</w:t>
            </w:r>
          </w:p>
          <w:p>
            <w:pPr>
              <w:pStyle w:val="Normal"/>
              <w:spacing w:lineRule="auto" w:line="240" w:before="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Забезпечення державних гарантій соціального захисту осіб, які постраждали внаслідок Чорнобильської катастрофи, щодо безоплатного придбання ліків за рецептами лікарів, безоплатного зубопротезування </w:t>
            </w:r>
          </w:p>
        </w:tc>
      </w:tr>
      <w:tr>
        <w:trPr/>
        <w:tc>
          <w:tcPr>
            <w:tcW w:w="15817" w:type="dxa"/>
            <w:gridSpan w:val="22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Normal"/>
              <w:spacing w:lineRule="auto" w:line="240" w:before="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 Завдання бюджетної програми</w:t>
            </w:r>
          </w:p>
        </w:tc>
      </w:tr>
      <w:tr>
        <w:trPr/>
        <w:tc>
          <w:tcPr>
            <w:tcW w:w="15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14294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Завдання</w:t>
            </w:r>
          </w:p>
        </w:tc>
      </w:tr>
      <w:tr>
        <w:trPr/>
        <w:tc>
          <w:tcPr>
            <w:tcW w:w="15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94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Надання пільг на безоплатне придбання ліків за рецептами лікарів, безоплатне зубопротезування осіб, які постраждали внаслідок Чорнобильської катастрофи </w:t>
            </w:r>
          </w:p>
        </w:tc>
      </w:tr>
      <w:tr>
        <w:trPr>
          <w:trHeight w:val="409" w:hRule="atLeast"/>
        </w:trPr>
        <w:tc>
          <w:tcPr>
            <w:tcW w:w="15817" w:type="dxa"/>
            <w:gridSpan w:val="22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9. Напрями використання бюджетних коштів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гривень</w:t>
            </w:r>
          </w:p>
        </w:tc>
      </w:tr>
      <w:tr>
        <w:trPr>
          <w:trHeight w:val="395" w:hRule="atLeast"/>
        </w:trPr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99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Напрями використання бюджетних коштів</w:t>
            </w:r>
          </w:p>
        </w:tc>
        <w:tc>
          <w:tcPr>
            <w:tcW w:w="24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13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232" w:hRule="atLeast"/>
        </w:trPr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 </w:t>
            </w:r>
            <w:r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99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4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3 </w:t>
            </w:r>
          </w:p>
        </w:tc>
        <w:tc>
          <w:tcPr>
            <w:tcW w:w="13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 </w:t>
            </w:r>
            <w:r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</w:tr>
      <w:tr>
        <w:trPr>
          <w:trHeight w:val="395" w:hRule="atLeast"/>
        </w:trPr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  <w:r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24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993729,00</w:t>
            </w:r>
          </w:p>
        </w:tc>
        <w:tc>
          <w:tcPr>
            <w:tcW w:w="13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993729,00</w:t>
            </w:r>
          </w:p>
        </w:tc>
      </w:tr>
      <w:tr>
        <w:trPr>
          <w:trHeight w:val="395" w:hRule="atLeast"/>
        </w:trPr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160"/>
              <w:jc w:val="both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Забезпечувати відшкодування витрат за придбані лікарські засоби за пільговими рецептами громадянам, які постраждали внаслідок Чорнобильської катастрофи, відповідно до п.5 розділу ІІІ </w:t>
            </w:r>
            <w:r>
              <w:rPr>
                <w:rFonts w:ascii="Times New Roman" w:hAnsi="Times New Roman"/>
                <w:sz w:val="12"/>
                <w:szCs w:val="12"/>
                <w:lang w:val="uk-UA"/>
              </w:rPr>
              <w:t>та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п.6 розділу І</w:t>
            </w:r>
            <w:r>
              <w:rPr>
                <w:rFonts w:ascii="Times New Roman" w:hAnsi="Times New Roman"/>
                <w:sz w:val="12"/>
                <w:szCs w:val="12"/>
                <w:lang w:val="en-US"/>
              </w:rPr>
              <w:t>V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bookmarkStart w:id="3" w:name="__DdeLink__4412_1434192366"/>
            <w:r>
              <w:rPr>
                <w:rFonts w:ascii="Times New Roman" w:hAnsi="Times New Roman"/>
                <w:sz w:val="12"/>
                <w:szCs w:val="12"/>
              </w:rPr>
              <w:t xml:space="preserve">”Порядку використання коштів субвенції з обласного бюджету місцевим бюджетам на пільгове медичне обслуговування осіб, які  постраждали внаслідок Чорнобильської катастрофи” </w:t>
            </w:r>
            <w:bookmarkEnd w:id="3"/>
            <w:r>
              <w:rPr>
                <w:rFonts w:ascii="Times New Roman" w:hAnsi="Times New Roman"/>
                <w:b w:val="false"/>
                <w:sz w:val="12"/>
                <w:szCs w:val="12"/>
              </w:rPr>
              <w:t>у випадку прийняття заяви на відшкодування витрат за лікарський засіб вартістю понад встановлений розмір 1,5 мінімальної заробітної плати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(місцевий бюджет)</w:t>
            </w:r>
          </w:p>
        </w:tc>
        <w:tc>
          <w:tcPr>
            <w:tcW w:w="24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5000,00</w:t>
            </w:r>
          </w:p>
        </w:tc>
        <w:tc>
          <w:tcPr>
            <w:tcW w:w="13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15000,00</w:t>
            </w:r>
          </w:p>
        </w:tc>
      </w:tr>
      <w:tr>
        <w:trPr>
          <w:trHeight w:val="395" w:hRule="atLeast"/>
        </w:trPr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>3</w:t>
            </w:r>
          </w:p>
        </w:tc>
        <w:tc>
          <w:tcPr>
            <w:tcW w:w="99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160"/>
              <w:jc w:val="both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Забезпечувати відшкодування витрат за придбані лікарські засоби за пільговими рецептами громадянам, які постраждали внаслідок Чорнобильської катастрофи, відповідно до п.4 розділу ІІ ”Порядку використання коштів субвенції з обласного бюджету місцевим бюджетам на пільгове медичне обслуговування осіб, які  постраждали внаслідок Чорнобильської катастрофи” (місцевий бюджет)</w:t>
            </w:r>
          </w:p>
        </w:tc>
        <w:tc>
          <w:tcPr>
            <w:tcW w:w="24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200000,00</w:t>
            </w:r>
          </w:p>
        </w:tc>
        <w:tc>
          <w:tcPr>
            <w:tcW w:w="13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200000,00</w:t>
            </w:r>
          </w:p>
        </w:tc>
      </w:tr>
      <w:tr>
        <w:trPr>
          <w:trHeight w:val="263" w:hRule="atLeast"/>
        </w:trPr>
        <w:tc>
          <w:tcPr>
            <w:tcW w:w="1063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  <w:tc>
          <w:tcPr>
            <w:tcW w:w="24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1208729,00</w:t>
            </w:r>
          </w:p>
        </w:tc>
        <w:tc>
          <w:tcPr>
            <w:tcW w:w="13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1208729,00</w:t>
            </w:r>
          </w:p>
        </w:tc>
      </w:tr>
      <w:tr>
        <w:trPr/>
        <w:tc>
          <w:tcPr>
            <w:tcW w:w="15817" w:type="dxa"/>
            <w:gridSpan w:val="22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 Перелік місцевих/регіональних програм, що виконуються у складі бюджетної програми                                                                  гривень</w:t>
            </w:r>
          </w:p>
        </w:tc>
      </w:tr>
      <w:tr>
        <w:trPr/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742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місцевої/регіональної програми</w:t>
            </w:r>
          </w:p>
        </w:tc>
        <w:tc>
          <w:tcPr>
            <w:tcW w:w="2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25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25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294" w:hRule="atLeast"/>
        </w:trPr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top w:w="55" w:type="dxa"/>
              <w:left w:w="10" w:type="dxa"/>
              <w:bottom w:w="5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742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top w:w="55" w:type="dxa"/>
              <w:left w:w="10" w:type="dxa"/>
              <w:bottom w:w="5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3 </w:t>
            </w:r>
          </w:p>
        </w:tc>
        <w:tc>
          <w:tcPr>
            <w:tcW w:w="25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 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25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 </w:t>
            </w:r>
            <w:r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</w:tr>
      <w:tr>
        <w:trPr/>
        <w:tc>
          <w:tcPr>
            <w:tcW w:w="81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  <w:b w:val="false"/>
                <w:bCs w:val="false"/>
                <w:color w:val="00000A"/>
                <w:spacing w:val="-1"/>
                <w:sz w:val="16"/>
                <w:szCs w:val="16"/>
                <w:highlight w:val="white"/>
                <w:lang w:val="uk-UA" w:eastAsia="uk-UA" w:bidi="ar-SA"/>
              </w:rPr>
              <w:t>Програма соціального захисту населення Луцької міської територіальної громади на 2023-2025, затверджена рішенням Луцької  МР №37/54 від 30/11/2022 (зі змінами)</w:t>
            </w:r>
          </w:p>
        </w:tc>
        <w:tc>
          <w:tcPr>
            <w:tcW w:w="2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215000,00</w:t>
            </w:r>
          </w:p>
        </w:tc>
        <w:tc>
          <w:tcPr>
            <w:tcW w:w="25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215000,00</w:t>
            </w:r>
          </w:p>
        </w:tc>
      </w:tr>
      <w:tr>
        <w:trPr/>
        <w:tc>
          <w:tcPr>
            <w:tcW w:w="81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  <w:tc>
          <w:tcPr>
            <w:tcW w:w="2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215000,00</w:t>
            </w:r>
          </w:p>
        </w:tc>
        <w:tc>
          <w:tcPr>
            <w:tcW w:w="25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215000,00</w:t>
            </w:r>
          </w:p>
        </w:tc>
      </w:tr>
      <w:tr>
        <w:trPr>
          <w:trHeight w:val="341" w:hRule="atLeast"/>
        </w:trPr>
        <w:tc>
          <w:tcPr>
            <w:tcW w:w="15817" w:type="dxa"/>
            <w:gridSpan w:val="22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11. Результативні показники бюджетної програми</w:t>
            </w:r>
          </w:p>
        </w:tc>
      </w:tr>
      <w:tr>
        <w:trPr>
          <w:trHeight w:val="309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Показники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Джерело інформації</w:t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</w:tr>
      <w:tr>
        <w:trPr>
          <w:trHeight w:val="25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затрат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Відшкодування коштів за пільгове медичне обслуговування осіб,які постраждали внаслідок аварїї на ЧАЕС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</w:t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кошторис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1208729,00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1208729,00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продукту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>Кількість одержувачів безоплатних ліків за рецептами лікарів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>Кількість одержувачів пільгових послуг із безоплатного зубопротезування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>
        <w:trPr>
          <w:trHeight w:val="37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ефективності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 xml:space="preserve">Середня вартість пільги на безоплатне придбання ліків на одну особу 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грн/рік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1286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1286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 xml:space="preserve">Середня вартість послуги на безоплатне зубопротезування на одну особу 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грн/рік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4500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4500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якості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 xml:space="preserve">Відсоток громадян, які одержали безоплатні ліки 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 xml:space="preserve">Відсоток громадян, які одержали послуги з безоплатного зубопротезування </w:t>
            </w:r>
          </w:p>
        </w:tc>
        <w:tc>
          <w:tcPr>
            <w:tcW w:w="13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/>
        <w:tc>
          <w:tcPr>
            <w:tcW w:w="7804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Директор департаменту</w:t>
            </w:r>
          </w:p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757" w:type="dxa"/>
            <w:gridSpan w:val="4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(підпис)</w:t>
            </w:r>
          </w:p>
        </w:tc>
        <w:tc>
          <w:tcPr>
            <w:tcW w:w="5256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Вікторія МАЙБОРОДА________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(в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16"/>
                <w:szCs w:val="16"/>
              </w:rPr>
              <w:t>ласне ім’я, ПРІЗВИЩЕ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</w:tc>
      </w:tr>
      <w:tr>
        <w:trPr/>
        <w:tc>
          <w:tcPr>
            <w:tcW w:w="15817" w:type="dxa"/>
            <w:gridSpan w:val="22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Погоджено:</w:t>
            </w:r>
          </w:p>
        </w:tc>
      </w:tr>
      <w:tr>
        <w:trPr>
          <w:trHeight w:val="739" w:hRule="atLeast"/>
        </w:trPr>
        <w:tc>
          <w:tcPr>
            <w:tcW w:w="7804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Директор департаменту фінансів та бюджету ЛМР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Дата погодження </w:t>
            </w:r>
            <w:bookmarkStart w:id="4" w:name="_GoBack1"/>
            <w:bookmarkEnd w:id="4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</w:p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МП</w:t>
            </w:r>
          </w:p>
        </w:tc>
        <w:tc>
          <w:tcPr>
            <w:tcW w:w="2757" w:type="dxa"/>
            <w:gridSpan w:val="4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(підпис)</w:t>
            </w:r>
          </w:p>
        </w:tc>
        <w:tc>
          <w:tcPr>
            <w:tcW w:w="5256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Лілія ЄЛОВА_____________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(в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16"/>
                <w:szCs w:val="16"/>
              </w:rPr>
              <w:t>ласне ім’я, ПРІЗВИЩЕ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</w:tc>
      </w:tr>
    </w:tbl>
    <w:p>
      <w:pPr>
        <w:pStyle w:val="Normal"/>
        <w:spacing w:lineRule="auto" w:line="240" w:before="0" w:after="160"/>
        <w:jc w:val="both"/>
        <w:rPr/>
      </w:pPr>
      <w:r>
        <w:rPr/>
      </w:r>
    </w:p>
    <w:sectPr>
      <w:type w:val="nextPage"/>
      <w:pgSz w:orient="landscape" w:w="16838" w:h="11906"/>
      <w:pgMar w:left="567" w:right="567" w:header="0" w:top="397" w:footer="0" w:bottom="39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36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ucida Sans Unicode" w:cs="Calibri"/>
        <w:szCs w:val="22"/>
        <w:lang w:val="uk-UA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c5de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1">
    <w:name w:val="Heading 1"/>
    <w:basedOn w:val="Style16"/>
    <w:qFormat/>
    <w:pPr/>
    <w:rPr/>
  </w:style>
  <w:style w:type="paragraph" w:styleId="2">
    <w:name w:val="Heading 2"/>
    <w:basedOn w:val="Style16"/>
    <w:qFormat/>
    <w:pPr/>
    <w:rPr/>
  </w:style>
  <w:style w:type="paragraph" w:styleId="3">
    <w:name w:val="Heading 3"/>
    <w:basedOn w:val="Style16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Верхній колонтитул Знак"/>
    <w:basedOn w:val="DefaultParagraphFont"/>
    <w:link w:val="a3"/>
    <w:uiPriority w:val="99"/>
    <w:qFormat/>
    <w:rsid w:val="00980a62"/>
    <w:rPr/>
  </w:style>
  <w:style w:type="character" w:styleId="Style12" w:customStyle="1">
    <w:name w:val="Нижній колонтитул Знак"/>
    <w:basedOn w:val="DefaultParagraphFont"/>
    <w:link w:val="a5"/>
    <w:uiPriority w:val="99"/>
    <w:qFormat/>
    <w:rsid w:val="00980a62"/>
    <w:rPr/>
  </w:style>
  <w:style w:type="character" w:styleId="Style13" w:customStyle="1">
    <w:name w:val="Текст у виносці Знак"/>
    <w:basedOn w:val="DefaultParagraphFont"/>
    <w:link w:val="a7"/>
    <w:uiPriority w:val="99"/>
    <w:semiHidden/>
    <w:qFormat/>
    <w:rsid w:val="003f30f8"/>
    <w:rPr>
      <w:rFonts w:ascii="Segoe UI" w:hAnsi="Segoe UI" w:cs="Segoe UI"/>
      <w:sz w:val="18"/>
      <w:szCs w:val="18"/>
    </w:rPr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basedOn w:val="11"/>
    <w:qFormat/>
    <w:rPr>
      <w:b/>
      <w:bCs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Normal"/>
    <w:pPr>
      <w:widowControl w:val="false"/>
      <w:bidi w:val="0"/>
      <w:jc w:val="left"/>
    </w:pPr>
    <w:rPr>
      <w:rFonts w:ascii="Calibri" w:hAnsi="Calibri" w:eastAsia="Lucida Sans Unicode" w:cs="Mangal"/>
      <w:color w:val="00000A"/>
      <w:sz w:val="22"/>
      <w:szCs w:val="22"/>
      <w:lang w:val="uk-UA" w:eastAsia="en-US" w:bidi="ar-S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Style21">
    <w:name w:val="Основний текст"/>
    <w:basedOn w:val="Normal"/>
    <w:qFormat/>
    <w:pPr>
      <w:spacing w:lineRule="auto" w:line="288" w:before="0" w:after="140"/>
    </w:pPr>
    <w:rPr/>
  </w:style>
  <w:style w:type="paragraph" w:styleId="Style22">
    <w:name w:val="Розділ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Покажчик"/>
    <w:basedOn w:val="Normal"/>
    <w:qFormat/>
    <w:pPr>
      <w:suppressLineNumbers/>
    </w:pPr>
    <w:rPr>
      <w:rFonts w:cs="Mangal"/>
    </w:rPr>
  </w:style>
  <w:style w:type="paragraph" w:styleId="Style24">
    <w:name w:val="Верхній колонтитул"/>
    <w:basedOn w:val="Normal"/>
    <w:link w:val="a4"/>
    <w:uiPriority w:val="99"/>
    <w:unhideWhenUsed/>
    <w:qFormat/>
    <w:rsid w:val="00980a6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Style25">
    <w:name w:val="Нижній колонтитул"/>
    <w:basedOn w:val="Normal"/>
    <w:link w:val="a6"/>
    <w:uiPriority w:val="99"/>
    <w:unhideWhenUsed/>
    <w:qFormat/>
    <w:rsid w:val="00980a6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3f30f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3a4f0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NormalWeb">
    <w:name w:val="Normal (Web)"/>
    <w:basedOn w:val="Normal"/>
    <w:unhideWhenUsed/>
    <w:qFormat/>
    <w:rsid w:val="00fb3551"/>
    <w:pPr>
      <w:spacing w:before="0" w:after="280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Style26">
    <w:name w:val="Вміст таблиці"/>
    <w:basedOn w:val="Normal"/>
    <w:qFormat/>
    <w:pPr/>
    <w:rPr/>
  </w:style>
  <w:style w:type="paragraph" w:styleId="Style27">
    <w:name w:val="Заголовок таблиці"/>
    <w:basedOn w:val="Style26"/>
    <w:qFormat/>
    <w:pPr/>
    <w:rPr/>
  </w:style>
  <w:style w:type="paragraph" w:styleId="Style28">
    <w:name w:val="Цитата"/>
    <w:basedOn w:val="Normal"/>
    <w:qFormat/>
    <w:pPr/>
    <w:rPr/>
  </w:style>
  <w:style w:type="paragraph" w:styleId="Style29">
    <w:name w:val="Title"/>
    <w:basedOn w:val="Style16"/>
    <w:qFormat/>
    <w:pPr>
      <w:jc w:val="left"/>
    </w:pPr>
    <w:rPr/>
  </w:style>
  <w:style w:type="paragraph" w:styleId="Style30">
    <w:name w:val="Підзаголовок"/>
    <w:basedOn w:val="Style16"/>
    <w:qFormat/>
    <w:pPr/>
    <w:rPr/>
  </w:style>
  <w:style w:type="paragraph" w:styleId="Style31">
    <w:name w:val="Содержимое таблицы"/>
    <w:basedOn w:val="Normal"/>
    <w:qFormat/>
    <w:pPr/>
    <w:rPr/>
  </w:style>
  <w:style w:type="paragraph" w:styleId="Style32">
    <w:name w:val="Заголовок таблицы"/>
    <w:basedOn w:val="Style3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C695C82E</Template>
  <TotalTime>251</TotalTime>
  <Application>LibreOffice/5.3.0.3$Windows_x86 LibreOffice_project/7074905676c47b82bbcfbea1aeefc84afe1c50e1</Application>
  <Pages>3</Pages>
  <Words>633</Words>
  <Characters>4426</Characters>
  <CharactersWithSpaces>5955</CharactersWithSpaces>
  <Paragraphs>157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2018-12-20T11:36:00Z</dcterms:created>
  <dc:creator>Бойченко Людмила Олександрівна</dc:creator>
  <dc:description/>
  <dc:language>uk-UA</dc:language>
  <cp:lastModifiedBy/>
  <cp:lastPrinted>2024-01-22T16:17:54Z</cp:lastPrinted>
  <dcterms:modified xsi:type="dcterms:W3CDTF">2024-01-22T16:18:17Z</dcterms:modified>
  <cp:revision>38</cp:revision>
  <dc:subject/>
  <dc:title/>
</cp:coreProperties>
</file>